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D64431" w:rsidP="00124910">
            <w:pPr>
              <w:rPr>
                <w:sz w:val="24"/>
                <w:szCs w:val="24"/>
              </w:rPr>
            </w:pPr>
            <w:r w:rsidRPr="00D64431">
              <w:rPr>
                <w:sz w:val="24"/>
                <w:szCs w:val="24"/>
              </w:rPr>
              <w:t>Газета «Правый взгляд» № 2 за 2005 год (решение Октябрьского районного суда г. Санкт-Петербурга от 27.03.2008, определение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5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6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7 за 2005 год (решение Октябрьского районного суда г. Санкт-Петербурга от 27.03.2008, </w:t>
            </w:r>
            <w:r w:rsidR="00D64431" w:rsidRPr="00D64431">
              <w:rPr>
                <w:sz w:val="24"/>
                <w:szCs w:val="24"/>
              </w:rPr>
              <w:t>определение</w:t>
            </w:r>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«Щит народа» № 2 (19) за 2006 год (решение Октябрьского районного суда г. Санкт-Петербурга от 27.03.2008, </w:t>
            </w:r>
            <w:r w:rsidR="00D64431" w:rsidRPr="00D64431">
              <w:rPr>
                <w:sz w:val="24"/>
                <w:szCs w:val="24"/>
              </w:rPr>
              <w:t>определение</w:t>
            </w:r>
            <w:bookmarkStart w:id="0" w:name="_GoBack"/>
            <w:bookmarkEnd w:id="0"/>
            <w:r w:rsidRPr="005C3241">
              <w:rPr>
                <w:sz w:val="24"/>
                <w:szCs w:val="24"/>
              </w:rPr>
              <w:t xml:space="preserve">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D6443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145EAA"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145EAA"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145EAA">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145EAA">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145EAA">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145EAA">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145EAA">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145EAA">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145EAA">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145EAA">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145EAA">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145EAA">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145EAA">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145EAA">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145EAA">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145EAA">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145EAA">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145EAA">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145EAA">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145EAA">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145EAA">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145EAA">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145EAA">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145EAA">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145EAA">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145EAA">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1" w:name="OLE_LINK80"/>
            <w:bookmarkStart w:id="2" w:name="OLE_LINK81"/>
            <w:r w:rsidRPr="005C3241">
              <w:rPr>
                <w:sz w:val="24"/>
                <w:szCs w:val="24"/>
              </w:rPr>
              <w:t>16.11.2018</w:t>
            </w:r>
            <w:bookmarkEnd w:id="1"/>
            <w:bookmarkEnd w:id="2"/>
          </w:p>
        </w:tc>
      </w:tr>
      <w:tr w:rsidR="005C3241" w:rsidRPr="005C3241" w:rsidTr="00145EAA">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145EAA">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145EAA">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145EAA">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145EAA">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145EAA">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145EAA">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145EAA">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145EAA">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145EAA">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145EAA">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145EAA">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145EAA">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145EAA">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w:t>
            </w:r>
            <w:r w:rsidRPr="00D14D14">
              <w:rPr>
                <w:sz w:val="24"/>
                <w:szCs w:val="24"/>
              </w:rPr>
              <w:lastRenderedPageBreak/>
              <w:t>города Саратова от 13.11.2019);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5120F9" w:rsidRPr="005120F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5120F9" w:rsidRPr="005120F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5120F9" w:rsidRPr="005120F9"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120F9" w:rsidRPr="005120F9" w:rsidRDefault="005120F9" w:rsidP="005120F9">
            <w:pPr>
              <w:rPr>
                <w:sz w:val="24"/>
                <w:szCs w:val="24"/>
              </w:rPr>
            </w:pPr>
            <w:r w:rsidRPr="005120F9">
              <w:rPr>
                <w:sz w:val="24"/>
                <w:szCs w:val="24"/>
              </w:rPr>
              <w:t>23.03.2020</w:t>
            </w:r>
          </w:p>
        </w:tc>
      </w:tr>
      <w:tr w:rsidR="00145EAA" w:rsidRPr="00145EAA" w:rsidTr="00145EAA">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45EAA" w:rsidRPr="00145EAA" w:rsidRDefault="00145EAA" w:rsidP="00145EAA">
            <w:pPr>
              <w:widowControl/>
              <w:autoSpaceDE/>
              <w:autoSpaceDN/>
              <w:adjustRightInd/>
              <w:rPr>
                <w:rFonts w:ascii="Tahoma" w:hAnsi="Tahoma" w:cs="Tahoma"/>
                <w:color w:val="333E48"/>
                <w:sz w:val="25"/>
                <w:szCs w:val="25"/>
              </w:rPr>
            </w:pPr>
            <w:r w:rsidRPr="00145EAA">
              <w:rPr>
                <w:rFonts w:ascii="Tahoma" w:hAnsi="Tahoma" w:cs="Tahoma"/>
                <w:color w:val="333E48"/>
                <w:sz w:val="25"/>
                <w:szCs w:val="25"/>
                <w:bdr w:val="none" w:sz="0" w:space="0" w:color="auto" w:frame="1"/>
              </w:rPr>
              <w:t>01.04.2020</w:t>
            </w:r>
          </w:p>
        </w:tc>
      </w:tr>
    </w:tbl>
    <w:p w:rsidR="00145EAA" w:rsidRPr="005C3241" w:rsidRDefault="00145EAA" w:rsidP="003B76C5">
      <w:pPr>
        <w:rPr>
          <w:sz w:val="24"/>
          <w:szCs w:val="24"/>
        </w:rPr>
      </w:pPr>
    </w:p>
    <w:sectPr w:rsidR="00145EAA"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05" w:rsidRDefault="00EF7805">
      <w:r>
        <w:separator/>
      </w:r>
    </w:p>
  </w:endnote>
  <w:endnote w:type="continuationSeparator" w:id="0">
    <w:p w:rsidR="00EF7805" w:rsidRDefault="00EF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05" w:rsidRDefault="00EF7805">
      <w:r>
        <w:separator/>
      </w:r>
    </w:p>
  </w:footnote>
  <w:footnote w:type="continuationSeparator" w:id="0">
    <w:p w:rsidR="00EF7805" w:rsidRDefault="00EF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D64431">
      <w:rPr>
        <w:noProof/>
      </w:rPr>
      <w:t>23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45EAA"/>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0F9"/>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E4839"/>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4400F"/>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4431"/>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EF7805"/>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306560">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38226343">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29336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686046">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5411">
      <w:bodyDiv w:val="1"/>
      <w:marLeft w:val="0"/>
      <w:marRight w:val="0"/>
      <w:marTop w:val="0"/>
      <w:marBottom w:val="0"/>
      <w:divBdr>
        <w:top w:val="none" w:sz="0" w:space="0" w:color="auto"/>
        <w:left w:val="none" w:sz="0" w:space="0" w:color="auto"/>
        <w:bottom w:val="none" w:sz="0" w:space="0" w:color="auto"/>
        <w:right w:val="none" w:sz="0" w:space="0" w:color="auto"/>
      </w:divBdr>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45751081">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77848735">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5501875">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A8B5-7F0B-4372-BF78-8DF61860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227077</Words>
  <Characters>1294345</Characters>
  <Application>Microsoft Office Word</Application>
  <DocSecurity>0</DocSecurity>
  <Lines>10786</Lines>
  <Paragraphs>3036</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10</cp:revision>
  <cp:lastPrinted>2016-04-27T13:02:00Z</cp:lastPrinted>
  <dcterms:created xsi:type="dcterms:W3CDTF">2019-12-16T13:10:00Z</dcterms:created>
  <dcterms:modified xsi:type="dcterms:W3CDTF">2020-04-08T13:49:00Z</dcterms:modified>
</cp:coreProperties>
</file>